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E3E8ED"/>
            <w:tcBorders>
              <w:top w:val="nil"/>
              <w:left w:val="nil"/>
              <w:bottom w:val="nil"/>
              <w:right w:val="nil"/>
            </w:tcBorders>
            <w:tcMar>
              <w:top w:w="226" w:type="dxa"/>
              <w:left w:w="283" w:type="dxa"/>
              <w:bottom w:w="226" w:type="dxa"/>
              <w:right w:w="283" w:type="dxa"/>
            </w:tcMar>
          </w:tcPr>
          <w:p>
            <w:pPr>
              <w:spacing w:after="0"/>
            </w:pPr>
            <w:r>
              <w:rPr>
                <w:rFonts w:ascii="Arial" w:hAnsi="Arial" w:cs="Arial" w:eastAsia="Arial"/>
                <w:b w:val="0"/>
                <w:color w:val="4A5A6C"/>
                <w:sz w:val="19"/>
              </w:rPr>
              <w:t>Vorlage 05</w:t>
            </w:r>
          </w:p>
          <w:p>
            <w:pPr>
              <w:pStyle w:val="Heading1"/>
              <w:spacing w:before="40" w:after="0"/>
            </w:pPr>
            <w:r>
              <w:rPr>
                <w:rFonts w:ascii="Arial" w:hAnsi="Arial" w:cs="Arial" w:eastAsia="Arial"/>
                <w:b/>
                <w:color w:val="13233A"/>
                <w:sz w:val="44"/>
              </w:rPr>
              <w:t>Vollmacht</w:t>
            </w:r>
          </w:p>
          <w:p>
            <w:pPr>
              <w:spacing w:after="0"/>
            </w:pPr>
            <w:r>
              <w:rPr>
                <w:rFonts w:ascii="Arial" w:hAnsi="Arial" w:cs="Arial" w:eastAsia="Arial"/>
                <w:b w:val="0"/>
                <w:color w:val="4A5A6C"/>
                <w:sz w:val="19"/>
              </w:rPr>
              <w:t>Ausfüllen und unterschreiben, Fachperson beiziehen</w:t>
            </w:r>
          </w:p>
        </w:tc>
      </w:tr>
    </w:tbl>
    <w:p>
      <w:pPr>
        <w:spacing w:after="0" w:line="16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FFFFFF"/>
            <w:tcMar>
              <w:top w:w="113" w:type="dxa"/>
              <w:left w:w="170" w:type="dxa"/>
              <w:bottom w:w="113" w:type="dxa"/>
              <w:right w:w="170" w:type="dxa"/>
            </w:tcMar>
            <w:tcBorders>
              <w:top w:val="single" w:sz="8" w:color="13233A"/>
              <w:left w:val="single" w:sz="8" w:color="13233A"/>
              <w:bottom w:val="single" w:sz="8" w:color="13233A"/>
              <w:right w:val="single" w:sz="8" w:color="13233A"/>
            </w:tcBorders>
          </w:tcPr>
          <w:p>
            <w:pPr>
              <w:spacing w:after="0"/>
            </w:pPr>
            <w:r>
              <w:rPr>
                <w:rFonts w:ascii="Arial" w:hAnsi="Arial" w:cs="Arial" w:eastAsia="Arial"/>
                <w:b/>
                <w:color w:val="13233A"/>
                <w:sz w:val="19"/>
              </w:rPr>
              <w:t>Muster, keine Rechtsberatung. Vor Verwendung von einer Fachperson prüfen lassen.</w:t>
            </w:r>
          </w:p>
        </w:tc>
      </w:tr>
    </w:tbl>
    <w:p>
      <w:pPr>
        <w:spacing w:after="0" w:line="10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3137"/>
        <w:gridCol w:w="226"/>
        <w:gridCol w:w="3137"/>
        <w:gridCol w:w="226"/>
        <w:gridCol w:w="3137"/>
      </w:tblGrid>
      <w:tr>
        <w:trPr>
          <w:cantSplit/>
        </w:trPr>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Wozu</w:t>
            </w:r>
          </w:p>
        </w:tc>
        <w:tc>
          <w:tcPr>
            <w:tcW w:type="dxa" w:w="227"/>
            <w:tcBorders>
              <w:top w:val="nil"/>
              <w:left w:val="nil"/>
              <w:bottom w:val="nil"/>
              <w:right w:val="nil"/>
            </w:tcBorders>
          </w:tcPr>
          <w:p/>
        </w:tc>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Wie ausfüllen</w:t>
            </w:r>
          </w:p>
        </w:tc>
        <w:tc>
          <w:tcPr>
            <w:tcW w:type="dxa" w:w="227"/>
            <w:tcBorders>
              <w:top w:val="nil"/>
              <w:left w:val="nil"/>
              <w:bottom w:val="nil"/>
              <w:right w:val="nil"/>
            </w:tcBorders>
          </w:tcPr>
          <w:p/>
        </w:tc>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Wohin</w:t>
            </w:r>
          </w:p>
        </w:tc>
      </w:tr>
      <w:tr>
        <w:trPr>
          <w:cantSplit/>
        </w:trPr>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Eine Person handelt sofort für Sie, solange Sie selbst urteilsfähig sind, und auf Wunsch darüber hinaus. Sie ersetzt weder Vorsorgeauftrag noch Testament.</w:t>
            </w:r>
          </w:p>
        </w:tc>
        <w:tc>
          <w:tcPr>
            <w:tcW w:type="dxa" w:w="227"/>
            <w:tcBorders>
              <w:top w:val="nil"/>
              <w:left w:val="nil"/>
              <w:bottom w:val="nil"/>
              <w:right w:val="nil"/>
            </w:tcBorders>
          </w:tcPr>
          <w:p/>
        </w:tc>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Mit einer Fachperson ausfüllen, Optionen bewusst ankreuzen, unterschreiben. Bei wichtigen Geschäften oder für das Ausland die Unterschrift beglaubigen lassen.</w:t>
            </w:r>
          </w:p>
        </w:tc>
        <w:tc>
          <w:tcPr>
            <w:tcW w:type="dxa" w:w="227"/>
            <w:tcBorders>
              <w:top w:val="nil"/>
              <w:left w:val="nil"/>
              <w:bottom w:val="nil"/>
              <w:right w:val="nil"/>
            </w:tcBorders>
          </w:tcPr>
          <w:p/>
        </w:tc>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Original der bevollmächtigten Person übergeben oder in den Beutel. Liegt es im Beutel, kann sie erst nach der Abholung damit handeln.</w:t>
            </w:r>
          </w:p>
        </w:tc>
      </w:tr>
    </w:tbl>
    <w:p>
      <w:pPr>
        <w:spacing w:after="0" w:line="12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E3E8ED"/>
            <w:tcMar>
              <w:top w:w="113" w:type="dxa"/>
              <w:left w:w="170" w:type="dxa"/>
              <w:bottom w:w="113" w:type="dxa"/>
              <w:right w:w="170" w:type="dxa"/>
            </w:tcMar>
            <w:tcBorders>
              <w:top w:val="nil"/>
              <w:left w:val="nil"/>
              <w:bottom w:val="nil"/>
              <w:right w:val="nil"/>
            </w:tcBorders>
          </w:tcPr>
          <w:p>
            <w:pPr>
              <w:spacing w:after="0"/>
            </w:pPr>
            <w:r>
              <w:rPr>
                <w:rFonts w:ascii="Arial" w:hAnsi="Arial" w:cs="Arial" w:eastAsia="Arial"/>
                <w:b/>
                <w:color w:val="13233A"/>
                <w:sz w:val="19"/>
              </w:rPr>
              <w:t>Banken verlangen meist eigene Formulare.</w:t>
            </w:r>
            <w:r>
              <w:rPr>
                <w:rFonts w:ascii="Arial" w:hAnsi="Arial" w:cs="Arial" w:eastAsia="Arial"/>
                <w:b w:val="0"/>
                <w:color w:val="13233A"/>
                <w:sz w:val="19"/>
              </w:rPr>
              <w:t xml:space="preserve"> Dieses Muster ersetzt sie nicht. Hinterlegen Sie direkt bei jeder Bank deren Vollmacht und fragen Sie, ob sie über Tod und Urteilsunfähigkeit hinaus gilt. Nach Eintritt der Urteilsunfähigkeit werden Vollmachten häufig nicht mehr akzeptiert.</w:t>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Muster</w:t>
      </w:r>
    </w:p>
    <w:p>
      <w:pPr>
        <w:pStyle w:val="Heading3"/>
        <w:keepNext/>
        <w:spacing w:before="160" w:after="60"/>
      </w:pPr>
      <w:r>
        <w:rPr>
          <w:rFonts w:ascii="Arial" w:hAnsi="Arial" w:cs="Arial" w:eastAsia="Arial"/>
          <w:b/>
          <w:color w:val="13233A"/>
          <w:sz w:val="21"/>
        </w:rPr>
        <w:t>Vollmachtgeberin oder Vollmachtgeber</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Name, Vorname</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Geburtsdatum</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Adresse</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pStyle w:val="Heading3"/>
        <w:keepNext/>
        <w:spacing w:before="160" w:after="60"/>
      </w:pPr>
      <w:r>
        <w:rPr>
          <w:rFonts w:ascii="Arial" w:hAnsi="Arial" w:cs="Arial" w:eastAsia="Arial"/>
          <w:b/>
          <w:color w:val="13233A"/>
          <w:sz w:val="21"/>
        </w:rPr>
        <w:t>Bevollmächtigte Person</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Name, Vorname</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Geburtsdatum</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Adresse</w:t>
            </w:r>
          </w:p>
          <w:p>
            <w:pPr>
              <w:keepNext/>
              <w:spacing w:after="40"/>
            </w:pPr>
            <w:r>
              <w:rPr>
                <w:rFonts w:ascii="Arial" w:hAnsi="Arial" w:cs="Arial" w:eastAsia="Arial"/>
                <w:sz w:val="22"/>
              </w:rPr>
            </w:r>
          </w:p>
        </w:tc>
      </w:tr>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Telefon</w:t>
            </w:r>
          </w:p>
          <w:p>
            <w:pPr>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E-Mail</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pStyle w:val="Heading3"/>
        <w:keepNext/>
        <w:spacing w:before="160" w:after="60"/>
      </w:pPr>
      <w:r>
        <w:rPr>
          <w:rFonts w:ascii="Arial" w:hAnsi="Arial" w:cs="Arial" w:eastAsia="Arial"/>
          <w:b/>
          <w:color w:val="13233A"/>
          <w:sz w:val="21"/>
        </w:rPr>
        <w:t>Umfang</w:t>
      </w:r>
    </w:p>
    <w:p>
      <w:pPr>
        <w:keepNext/>
        <w:spacing w:after="80" w:before="0"/>
      </w:pPr>
      <w:r>
        <w:rPr>
          <w:rFonts w:ascii="Arial" w:hAnsi="Arial" w:cs="Arial" w:eastAsia="Arial"/>
          <w:b w:val="0"/>
          <w:color w:val="13233A"/>
          <w:sz w:val="20"/>
        </w:rPr>
        <w:t>Ich bevollmächtige diese Person, mich in den folgenden Angelegenheiten zu vertreten: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Alle Angelegenheiten, soweit eine Vertretung gesetzlich zulässig ist (Generalvollmacht)</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Behörden, Steuern, Sozialversicherungen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Versicherungen, Krankenkasse</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Post empfangen und öffnen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Verträge abschliessen und kündigen, zum Beispiel Miete, Abonnemente</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Bank und Post, soweit das Institut diese Vollmacht anerkennt</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Nur dieses Geschäft: </w:t>
      </w:r>
      <w:r>
        <w:rPr>
          <w:rFonts w:ascii="Arial" w:hAnsi="Arial" w:cs="Arial" w:eastAsia="Arial"/>
          <w:b w:val="0"/>
          <w:color w:val="4A5A6C"/>
          <w:sz w:val="20"/>
        </w:rPr>
        <w:t>________________________________________</w:t>
      </w:r>
    </w:p>
    <w:p>
      <w:pPr>
        <w:keepNext/>
        <w:spacing w:after="80" w:before="0"/>
      </w:pPr>
      <w:r>
        <w:rPr>
          <w:rFonts w:ascii="Arial" w:hAnsi="Arial" w:cs="Arial" w:eastAsia="Arial"/>
          <w:b w:val="0"/>
          <w:color w:val="13233A"/>
          <w:sz w:val="20"/>
        </w:rPr>
        <w:t>Eine besondere Ermächtigung braucht es unter anderem für Prozesse, Vergleiche, den Verkauf oder die Belastung von Grundstücken und für Schenkungen (Art. 396 Abs. 3 OR). Soll das erfasst sein, schreiben Sie es hier ausdrücklich auf:</w:t>
      </w:r>
    </w:p>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keepNext/>
              <w:spacing w:after="0"/>
            </w:pPr>
          </w:p>
        </w:tc>
      </w:tr>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spacing w:after="0"/>
            </w:pPr>
          </w:p>
        </w:tc>
      </w:tr>
    </w:tbl>
    <w:p>
      <w:pPr>
        <w:spacing w:after="0" w:line="100" w:lineRule="exact"/>
      </w:pPr>
      <w:r>
        <w:rPr>
          <w:rFonts w:ascii="Arial" w:hAnsi="Arial" w:cs="Arial" w:eastAsia="Arial"/>
          <w:sz w:val="4"/>
        </w:rPr>
      </w:r>
    </w:p>
    <w:p>
      <w:pPr>
        <w:pStyle w:val="Heading3"/>
        <w:keepNext/>
        <w:spacing w:before="160" w:after="60"/>
      </w:pPr>
      <w:r>
        <w:rPr>
          <w:rFonts w:ascii="Arial" w:hAnsi="Arial" w:cs="Arial" w:eastAsia="Arial"/>
          <w:b/>
          <w:color w:val="13233A"/>
          <w:sz w:val="21"/>
        </w:rPr>
        <w:t>Untervollmacht</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Die bevollmächtigte Person darf Untervollmacht erteilen.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Die bevollmächtigte Person darf keine Untervollmacht erteilen.</w:t>
      </w:r>
    </w:p>
    <w:p>
      <w:pPr>
        <w:pStyle w:val="Heading3"/>
        <w:keepNext/>
        <w:spacing w:before="160" w:after="60"/>
      </w:pPr>
      <w:r>
        <w:rPr>
          <w:rFonts w:ascii="Arial" w:hAnsi="Arial" w:cs="Arial" w:eastAsia="Arial"/>
          <w:b/>
          <w:color w:val="13233A"/>
          <w:sz w:val="21"/>
        </w:rPr>
        <w:t>Option: Geltung über Urteilsunfähigkeit und Tod hinaus</w:t>
      </w:r>
    </w:p>
    <w:p>
      <w:pPr>
        <w:keepNext/>
        <w:spacing w:after="80" w:before="0"/>
      </w:pPr>
      <w:r>
        <w:rPr>
          <w:rFonts w:ascii="Arial" w:hAnsi="Arial" w:cs="Arial" w:eastAsia="Arial"/>
          <w:b w:val="0"/>
          <w:color w:val="13233A"/>
          <w:sz w:val="20"/>
        </w:rPr>
        <w:t>Ohne ausdrückliche Regelung erlischt die Vollmacht in der Regel mit dem Tod oder dem Verlust der Handlungsfähigkeit (Art. 35 OR). Nur ankreuzen, was Sie wollen, und mit der Fachperson besprechen.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Diese Vollmacht gilt über den Eintritt meiner Urteilsunfähigkeit hinaus.</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Diese Vollmacht gilt über meinen Tod hinaus.</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Keine dieser Optionen.</w:t>
      </w:r>
    </w:p>
    <w:p>
      <w:pPr>
        <w:pStyle w:val="Heading3"/>
        <w:keepNext/>
        <w:spacing w:before="160" w:after="60"/>
      </w:pPr>
      <w:r>
        <w:rPr>
          <w:rFonts w:ascii="Arial" w:hAnsi="Arial" w:cs="Arial" w:eastAsia="Arial"/>
          <w:b/>
          <w:color w:val="13233A"/>
          <w:sz w:val="21"/>
        </w:rPr>
        <w:t>Widerruf</w:t>
      </w:r>
    </w:p>
    <w:p>
      <w:pPr>
        <w:keepNext/>
        <w:spacing w:after="80" w:before="0"/>
      </w:pPr>
      <w:r>
        <w:rPr>
          <w:rFonts w:ascii="Arial" w:hAnsi="Arial" w:cs="Arial" w:eastAsia="Arial"/>
          <w:b w:val="0"/>
          <w:color w:val="13233A"/>
          <w:sz w:val="20"/>
        </w:rPr>
        <w:t>Ich kann diese Vollmacht jederzeit widerrufen (Art. 34 OR).</w:t>
      </w:r>
    </w:p>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Height w:val="1134" w:hRule="atLeast"/>
        </w:trPr>
        <w:tc>
          <w:tcPr>
            <w:tcW w:type="dxa" w:w="3719"/>
            <w:tcBorders>
              <w:top w:val="nil"/>
              <w:left w:val="nil"/>
              <w:bottom w:val="single" w:sz="8" w:color="13233A"/>
              <w:right w:val="nil"/>
            </w:tcBorders>
          </w:tcPr>
          <w:p>
            <w:pPr>
              <w:keepNext/>
            </w:pPr>
          </w:p>
        </w:tc>
        <w:tc>
          <w:tcPr>
            <w:tcW w:type="dxa" w:w="454"/>
            <w:tcBorders>
              <w:top w:val="nil"/>
              <w:left w:val="nil"/>
              <w:bottom w:val="nil"/>
              <w:right w:val="nil"/>
            </w:tcBorders>
          </w:tcPr>
          <w:p>
            <w:pPr>
              <w:keepNext/>
            </w:pPr>
          </w:p>
        </w:tc>
        <w:tc>
          <w:tcPr>
            <w:tcW w:type="dxa" w:w="5692"/>
            <w:tcBorders>
              <w:top w:val="nil"/>
              <w:left w:val="nil"/>
              <w:bottom w:val="single" w:sz="8" w:color="13233A"/>
              <w:right w:val="nil"/>
            </w:tcBorders>
          </w:tcPr>
          <w:p>
            <w:pPr>
              <w:keepNext/>
            </w:pPr>
          </w:p>
        </w:tc>
      </w:tr>
    </w:tbl>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Pr>
        <w:tc>
          <w:tcPr>
            <w:tcW w:type="dxa" w:w="3719"/>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Ort, Datum</w:t>
            </w:r>
          </w:p>
        </w:tc>
        <w:tc>
          <w:tcPr>
            <w:tcW w:type="dxa" w:w="454"/>
            <w:tcBorders>
              <w:top w:val="nil"/>
              <w:left w:val="nil"/>
              <w:bottom w:val="nil"/>
              <w:right w:val="nil"/>
            </w:tcBorders>
            <w:tcMar>
              <w:top w:w="28" w:type="dxa"/>
              <w:left w:w="0" w:type="dxa"/>
              <w:bottom w:w="28" w:type="dxa"/>
              <w:right w:w="0" w:type="dxa"/>
            </w:tcMar>
          </w:tcPr>
          <w:p>
            <w:pPr>
              <w:spacing w:after="0"/>
            </w:pPr>
          </w:p>
        </w:tc>
        <w:tc>
          <w:tcPr>
            <w:tcW w:type="dxa" w:w="5692"/>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Unterschrift Vollmachtgeber</w:t>
            </w:r>
          </w:p>
        </w:tc>
      </w:tr>
    </w:tbl>
    <w:p>
      <w:pPr>
        <w:spacing w:after="0" w:line="12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Height w:val="1134" w:hRule="atLeast"/>
        </w:trPr>
        <w:tc>
          <w:tcPr>
            <w:tcW w:type="dxa" w:w="3719"/>
            <w:tcBorders>
              <w:top w:val="nil"/>
              <w:left w:val="nil"/>
              <w:bottom w:val="single" w:sz="8" w:color="13233A"/>
              <w:right w:val="nil"/>
            </w:tcBorders>
          </w:tcPr>
          <w:p>
            <w:pPr>
              <w:keepNext/>
            </w:pPr>
          </w:p>
        </w:tc>
        <w:tc>
          <w:tcPr>
            <w:tcW w:type="dxa" w:w="454"/>
            <w:tcBorders>
              <w:top w:val="nil"/>
              <w:left w:val="nil"/>
              <w:bottom w:val="nil"/>
              <w:right w:val="nil"/>
            </w:tcBorders>
          </w:tcPr>
          <w:p>
            <w:pPr>
              <w:keepNext/>
            </w:pPr>
          </w:p>
        </w:tc>
        <w:tc>
          <w:tcPr>
            <w:tcW w:type="dxa" w:w="5692"/>
            <w:tcBorders>
              <w:top w:val="nil"/>
              <w:left w:val="nil"/>
              <w:bottom w:val="single" w:sz="8" w:color="13233A"/>
              <w:right w:val="nil"/>
            </w:tcBorders>
          </w:tcPr>
          <w:p>
            <w:pPr>
              <w:keepNext/>
            </w:pPr>
          </w:p>
        </w:tc>
      </w:tr>
    </w:tbl>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Pr>
        <w:tc>
          <w:tcPr>
            <w:tcW w:type="dxa" w:w="3719"/>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Ort, Datum</w:t>
            </w:r>
          </w:p>
        </w:tc>
        <w:tc>
          <w:tcPr>
            <w:tcW w:type="dxa" w:w="454"/>
            <w:tcBorders>
              <w:top w:val="nil"/>
              <w:left w:val="nil"/>
              <w:bottom w:val="nil"/>
              <w:right w:val="nil"/>
            </w:tcBorders>
            <w:tcMar>
              <w:top w:w="28" w:type="dxa"/>
              <w:left w:w="0" w:type="dxa"/>
              <w:bottom w:w="28" w:type="dxa"/>
              <w:right w:w="0" w:type="dxa"/>
            </w:tcMar>
          </w:tcPr>
          <w:p>
            <w:pPr>
              <w:spacing w:after="0"/>
            </w:pPr>
          </w:p>
        </w:tc>
        <w:tc>
          <w:tcPr>
            <w:tcW w:type="dxa" w:w="5692"/>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Unterschrift bevollmächtigte Person (Unterschriftsprobe)</w:t>
            </w:r>
          </w:p>
        </w:tc>
      </w:tr>
    </w:tbl>
    <w:p>
      <w:pPr>
        <w:spacing w:after="0" w:line="12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Grenzen dieser Vollmacht</w:t>
      </w:r>
    </w:p>
    <w:p>
      <w:pPr>
        <w:pStyle w:val="ListBullet"/>
        <w:keepNext w:val="0"/>
        <w:spacing w:after="60" w:before="0"/>
      </w:pPr>
      <w:r>
        <w:rPr>
          <w:rFonts w:ascii="Arial" w:hAnsi="Arial" w:cs="Arial" w:eastAsia="Arial"/>
          <w:b w:val="0"/>
          <w:color w:val="13233A"/>
          <w:sz w:val="20"/>
        </w:rPr>
        <w:t>Eine Vollmacht, die erst bei Urteilsunfähigkeit wirken soll, gehört in einen Vorsorgeauftrag (Vorlage 02) und braucht dessen Form.</w:t>
      </w:r>
    </w:p>
    <w:p>
      <w:pPr>
        <w:pStyle w:val="ListBullet"/>
        <w:keepNext w:val="0"/>
        <w:spacing w:after="60" w:before="0"/>
      </w:pPr>
      <w:r>
        <w:rPr>
          <w:rFonts w:ascii="Arial" w:hAnsi="Arial" w:cs="Arial" w:eastAsia="Arial"/>
          <w:b w:val="0"/>
          <w:color w:val="13233A"/>
          <w:sz w:val="20"/>
        </w:rPr>
        <w:t>Auch mit der Option können Dritte die Vollmacht ablehnen, und die KESB kann eingreifen. Der Vorsorgeauftrag bleibt deshalb sinnvoll.</w:t>
      </w:r>
    </w:p>
    <w:p>
      <w:pPr>
        <w:pStyle w:val="ListBullet"/>
        <w:keepNext w:val="0"/>
        <w:spacing w:after="60" w:before="0"/>
      </w:pPr>
      <w:r>
        <w:rPr>
          <w:rFonts w:ascii="Arial" w:hAnsi="Arial" w:cs="Arial" w:eastAsia="Arial"/>
          <w:b w:val="0"/>
          <w:color w:val="13233A"/>
          <w:sz w:val="20"/>
        </w:rPr>
        <w:t>Wird die vollmachtgebende Person voraussichtlich dauernd urteilsunfähig, muss die bevollmächtigte Person unter Umständen die KESB benachrichtigen (Art. 397a OR).</w:t>
      </w:r>
    </w:p>
    <w:p>
      <w:pPr>
        <w:pStyle w:val="ListBullet"/>
        <w:keepNext w:val="0"/>
        <w:spacing w:after="60" w:before="0"/>
      </w:pPr>
      <w:r>
        <w:rPr>
          <w:rFonts w:ascii="Arial" w:hAnsi="Arial" w:cs="Arial" w:eastAsia="Arial"/>
          <w:b w:val="0"/>
          <w:color w:val="13233A"/>
          <w:sz w:val="20"/>
        </w:rPr>
        <w:t>Die Vollmacht ersetzt kein Testament und gibt keinen Anspruch auf den Nachlass. Nach dem Tod können die Erben sie widerrufen.</w:t>
      </w:r>
    </w:p>
    <w:p>
      <w:pPr>
        <w:pStyle w:val="ListBullet"/>
        <w:keepNext w:val="0"/>
        <w:spacing w:after="60" w:before="0"/>
      </w:pPr>
      <w:r>
        <w:rPr>
          <w:rFonts w:ascii="Arial" w:hAnsi="Arial" w:cs="Arial" w:eastAsia="Arial"/>
          <w:b w:val="0"/>
          <w:color w:val="13233A"/>
          <w:sz w:val="20"/>
        </w:rPr>
        <w:t>Für Grundstücksgeschäfte und im Ausland können besondere Formen gelten. Fachperson beiziehen.</w:t>
      </w:r>
    </w:p>
    <w:sectPr w:rsidR="00FC693F" w:rsidRPr="0006063C" w:rsidSect="00034616">
      <w:headerReference w:type="default" r:id="rId9"/>
      <w:footerReference w:type="default" r:id="rId10"/>
      <w:pgSz w:w="11906" w:h="16838"/>
      <w:pgMar w:top="1247"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513"/>
        <w:tab w:val="clear" w:pos="4680"/>
        <w:tab w:val="clear" w:pos="9026"/>
        <w:tab w:val="clear" w:pos="9360"/>
        <w:tab w:val="right" w:pos="9865"/>
      </w:tabs>
    </w:pPr>
    <w:r>
      <w:rPr>
        <w:rFonts w:ascii="Arial" w:hAnsi="Arial" w:cs="Arial" w:eastAsia="Arial"/>
        <w:b w:val="0"/>
        <w:color w:val="4A5A6C"/>
        <w:sz w:val="15"/>
      </w:rPr>
      <w:t>Advisori GmbH · Entwurf 11/2026 · Muster, keine Rechtsberatung</w:t>
      <w:tab/>
      <w:t xml:space="preserve">Seite </w:t>
    </w:r>
    <w:r>
      <w:rPr>
        <w:rFonts w:ascii="Arial" w:hAnsi="Arial" w:cs="Arial" w:eastAsia="Arial"/>
        <w:b w:val="0"/>
        <w:color w:val="4A5A6C"/>
        <w:sz w:val="15"/>
      </w:rPr>
      <w:fldChar w:fldCharType="begin"/>
    </w:r>
    <w:r>
      <w:rPr>
        <w:rFonts w:ascii="Arial" w:hAnsi="Arial" w:cs="Arial" w:eastAsia="Arial"/>
        <w:b w:val="0"/>
        <w:color w:val="4A5A6C"/>
        <w:sz w:val="15"/>
      </w:rPr>
      <w:instrText xml:space="preserve">PAGE</w:instrText>
    </w:r>
    <w:r>
      <w:rPr>
        <w:rFonts w:ascii="Arial" w:hAnsi="Arial" w:cs="Arial" w:eastAsia="Arial"/>
        <w:b w:val="0"/>
        <w:color w:val="4A5A6C"/>
        <w:sz w:val="15"/>
      </w:rPr>
      <w:fldChar w:fldCharType="end"/>
    </w:r>
    <w:r>
      <w:rPr>
        <w:rFonts w:ascii="Arial" w:hAnsi="Arial" w:cs="Arial" w:eastAsia="Arial"/>
        <w:b w:val="0"/>
        <w:color w:val="4A5A6C"/>
        <w:sz w:val="15"/>
      </w:rPr>
      <w:t xml:space="preserve"> von </w:t>
    </w:r>
    <w:r>
      <w:rPr>
        <w:rFonts w:ascii="Arial" w:hAnsi="Arial" w:cs="Arial" w:eastAsia="Arial"/>
        <w:b w:val="0"/>
        <w:color w:val="4A5A6C"/>
        <w:sz w:val="15"/>
      </w:rPr>
      <w:fldChar w:fldCharType="begin"/>
    </w:r>
    <w:r>
      <w:rPr>
        <w:rFonts w:ascii="Arial" w:hAnsi="Arial" w:cs="Arial" w:eastAsia="Arial"/>
        <w:b w:val="0"/>
        <w:color w:val="4A5A6C"/>
        <w:sz w:val="15"/>
      </w:rPr>
      <w:instrText xml:space="preserve">NUMPAGES</w:instrText>
    </w:r>
    <w:r>
      <w:rPr>
        <w:rFonts w:ascii="Arial" w:hAnsi="Arial" w:cs="Arial" w:eastAsia="Arial"/>
        <w:b w:val="0"/>
        <w:color w:val="4A5A6C"/>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clear" w:pos="4513"/>
        <w:tab w:val="clear" w:pos="4680"/>
        <w:tab w:val="clear" w:pos="9026"/>
        <w:tab w:val="clear" w:pos="9360"/>
        <w:tab w:val="right" w:pos="9865"/>
      </w:tabs>
    </w:pPr>
    <w:r>
      <w:drawing>
        <wp:inline xmlns:a="http://schemas.openxmlformats.org/drawingml/2006/main" xmlns:pic="http://schemas.openxmlformats.org/drawingml/2006/picture">
          <wp:extent cx="1089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89000" cy="180000"/>
                  </a:xfrm>
                  <a:prstGeom prst="rect"/>
                </pic:spPr>
              </pic:pic>
            </a:graphicData>
          </a:graphic>
        </wp:inline>
      </w:drawing>
    </w:r>
    <w:r>
      <w:rPr>
        <w:rFonts w:ascii="Arial" w:hAnsi="Arial" w:cs="Arial" w:eastAsia="Arial"/>
        <w:b w:val="0"/>
        <w:color w:val="4A5A6C"/>
        <w:sz w:val="15"/>
      </w:rPr>
      <w:tab/>
      <w:t>Vorlage 05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lang w:val="de-C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13233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color w:val="1323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cs="Arial" w:eastAsia="Arial"/>
      <w:b/>
      <w:bCs/>
      <w:color w:val="1323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Notfallbox 05: Vollmacht</dc:title>
  <dc:subject>Entwurf 11/2026</dc:subject>
  <dc:creator>Advisori GmbH</dc:creator>
  <cp:keywords/>
  <dc:description/>
  <cp:lastModifiedBy/>
  <cp:revision>1</cp:revision>
  <dcterms:created xsi:type="dcterms:W3CDTF">2013-12-23T23:15:00Z</dcterms:created>
  <dcterms:modified xsi:type="dcterms:W3CDTF">2013-12-23T23:15:00Z</dcterms:modified>
  <cp:category/>
  <dc:language>de-CH</dc:language>
</cp:coreProperties>
</file>